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FE" w:rsidRDefault="005D63E3" w:rsidP="005D63E3">
      <w:pPr>
        <w:spacing w:line="360" w:lineRule="auto"/>
      </w:pPr>
      <w:r>
        <w:t>Personalrat bei</w:t>
      </w:r>
    </w:p>
    <w:p w:rsidR="005D63E3" w:rsidRDefault="005D63E3" w:rsidP="005D63E3">
      <w:pPr>
        <w:spacing w:line="360" w:lineRule="auto"/>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D63E3" w:rsidRDefault="005D63E3" w:rsidP="005D63E3">
      <w:pPr>
        <w:spacing w:line="360" w:lineRule="auto"/>
      </w:pPr>
    </w:p>
    <w:p w:rsidR="005D63E3" w:rsidRDefault="005D63E3" w:rsidP="005D63E3">
      <w:pPr>
        <w:spacing w:line="360" w:lineRule="auto"/>
      </w:pPr>
    </w:p>
    <w:p w:rsidR="005D63E3" w:rsidRDefault="005D63E3" w:rsidP="005D63E3">
      <w:pPr>
        <w:spacing w:line="360" w:lineRule="auto"/>
      </w:pPr>
    </w:p>
    <w:p w:rsidR="005D63E3" w:rsidRDefault="00A011E3" w:rsidP="005D63E3">
      <w:pPr>
        <w:spacing w:line="360" w:lineRule="auto"/>
      </w:pPr>
      <w:r>
        <w:fldChar w:fldCharType="begin">
          <w:ffData>
            <w:name w:val="Dropdown1"/>
            <w:enabled/>
            <w:calcOnExit w:val="0"/>
            <w:ddList>
              <w:listEntry w:val="Frau Direktorin"/>
              <w:listEntry w:val="Herrn Direktor"/>
              <w:listEntry w:val="Frau Präsidentin"/>
              <w:listEntry w:val="Herrn Präsidenten"/>
              <w:listEntry w:val="Frau Leitende Oberstaatsanwältin"/>
              <w:listEntry w:val="Herrn Leitenden Oberstaatsanwalt"/>
              <w:listEntry w:val="Frau Generalstaatsanwältin"/>
              <w:listEntry w:val="Herrn Generalstaatsanwalt"/>
              <w:listEntry w:val="Frau Leiterin"/>
              <w:listEntry w:val="Herrn Leiter"/>
              <w:listEntry w:val="Frau Abteilungsleiterin"/>
              <w:listEntry w:val="Herrn Abteilungsleiter"/>
              <w:listEntry w:val="Frau Referatsleiterin"/>
              <w:listEntry w:val="Herrn Referatsleiter"/>
            </w:ddList>
          </w:ffData>
        </w:fldChar>
      </w:r>
      <w:bookmarkStart w:id="2" w:name="Dropdown1"/>
      <w:r>
        <w:instrText xml:space="preserve"> FORMDROPDOWN </w:instrText>
      </w:r>
      <w:r w:rsidR="00211E92">
        <w:fldChar w:fldCharType="separate"/>
      </w:r>
      <w:r>
        <w:fldChar w:fldCharType="end"/>
      </w:r>
      <w:bookmarkEnd w:id="2"/>
    </w:p>
    <w:p w:rsidR="005D63E3" w:rsidRDefault="005D63E3" w:rsidP="005D63E3">
      <w:pPr>
        <w:spacing w:line="360" w:lineRule="auto"/>
      </w:pPr>
      <w:r>
        <w:fldChar w:fldCharType="begin">
          <w:ffData>
            <w:name w:val="Dropdown2"/>
            <w:enabled/>
            <w:calcOnExit/>
            <w:ddList>
              <w:listEntry w:val="des Amtsgerichts"/>
              <w:listEntry w:val="des Arbeitsgerichts"/>
              <w:listEntry w:val="des Landesarbeitsgerichts"/>
              <w:listEntry w:val="des Finanzgerichts"/>
              <w:listEntry w:val="des Sozialgerichts"/>
              <w:listEntry w:val="des Landessozialgerichts"/>
              <w:listEntry w:val="des Verwaltungsgerichts"/>
              <w:listEntry w:val="des Oberverwaltungsgerichts"/>
              <w:listEntry w:val="des AJSD"/>
              <w:listEntry w:val="des ZIB"/>
              <w:listEntry w:val="des MJ"/>
            </w:ddList>
          </w:ffData>
        </w:fldChar>
      </w:r>
      <w:bookmarkStart w:id="3" w:name="Dropdown2"/>
      <w:r>
        <w:instrText xml:space="preserve"> FORMDROPDOWN </w:instrText>
      </w:r>
      <w:r w:rsidR="00211E92">
        <w:fldChar w:fldCharType="separate"/>
      </w:r>
      <w:r>
        <w:fldChar w:fldCharType="end"/>
      </w:r>
      <w:bookmarkEnd w:id="3"/>
    </w:p>
    <w:p w:rsidR="005D63E3" w:rsidRDefault="005D63E3" w:rsidP="005D63E3">
      <w:pPr>
        <w:spacing w:line="360" w:lineRule="auto"/>
      </w:pPr>
    </w:p>
    <w:p w:rsidR="005D63E3" w:rsidRDefault="005D63E3" w:rsidP="005D63E3">
      <w:pPr>
        <w:spacing w:line="360" w:lineRule="auto"/>
      </w:pPr>
      <w:r>
        <w:t>im Hause</w:t>
      </w:r>
    </w:p>
    <w:p w:rsidR="005D63E3" w:rsidRDefault="005D63E3" w:rsidP="005D63E3">
      <w:pPr>
        <w:spacing w:line="360" w:lineRule="auto"/>
      </w:pPr>
    </w:p>
    <w:p w:rsidR="005D63E3" w:rsidRDefault="005D63E3" w:rsidP="005D63E3">
      <w:pPr>
        <w:spacing w:line="360" w:lineRule="auto"/>
      </w:pPr>
    </w:p>
    <w:p w:rsidR="005D63E3" w:rsidRPr="00BD166B" w:rsidRDefault="005D63E3" w:rsidP="005D63E3">
      <w:pPr>
        <w:spacing w:line="360" w:lineRule="auto"/>
        <w:rPr>
          <w:b/>
        </w:rPr>
      </w:pPr>
      <w:r w:rsidRPr="00BD166B">
        <w:rPr>
          <w:b/>
        </w:rPr>
        <w:t>Initiativantrag nach §</w:t>
      </w:r>
      <w:r w:rsidR="007623A7">
        <w:rPr>
          <w:b/>
        </w:rPr>
        <w:t>§ 69, 66 I Nr. 1 lit b</w:t>
      </w:r>
      <w:r w:rsidRPr="00BD166B">
        <w:rPr>
          <w:b/>
        </w:rPr>
        <w:t xml:space="preserve"> NPersVG</w:t>
      </w:r>
    </w:p>
    <w:p w:rsidR="005D63E3" w:rsidRDefault="005D63E3" w:rsidP="005D63E3">
      <w:pPr>
        <w:spacing w:line="360" w:lineRule="auto"/>
        <w:rPr>
          <w:b/>
        </w:rPr>
      </w:pPr>
      <w:r w:rsidRPr="00BD166B">
        <w:rPr>
          <w:b/>
        </w:rPr>
        <w:t>hier: Antrag auf Abschluss einer Dienstvereinbarung über die Vertrauensarbeitszeit ab dem 01.01.2022</w:t>
      </w:r>
    </w:p>
    <w:p w:rsidR="00BD166B" w:rsidRDefault="00BD166B" w:rsidP="005D63E3">
      <w:pPr>
        <w:spacing w:line="360" w:lineRule="auto"/>
        <w:rPr>
          <w:b/>
        </w:rPr>
      </w:pPr>
    </w:p>
    <w:p w:rsidR="00BD166B" w:rsidRDefault="00BD166B" w:rsidP="005D63E3">
      <w:pPr>
        <w:spacing w:line="360" w:lineRule="auto"/>
        <w:rPr>
          <w:b/>
        </w:rPr>
      </w:pPr>
      <w:r>
        <w:rPr>
          <w:b/>
        </w:rPr>
        <w:t>Erlass des MJ vom 01.10.2021 – 2043 – 102.95</w:t>
      </w:r>
    </w:p>
    <w:p w:rsidR="00BD166B" w:rsidRDefault="00BD166B" w:rsidP="005D63E3">
      <w:pPr>
        <w:spacing w:line="360" w:lineRule="auto"/>
      </w:pPr>
    </w:p>
    <w:p w:rsidR="0050414C" w:rsidRDefault="0050414C" w:rsidP="005D63E3">
      <w:pPr>
        <w:spacing w:line="360" w:lineRule="auto"/>
      </w:pPr>
      <w:r>
        <w:t>Sehr geehrte</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p>
    <w:p w:rsidR="0050414C" w:rsidRDefault="0050414C" w:rsidP="005D63E3">
      <w:pPr>
        <w:spacing w:line="360" w:lineRule="auto"/>
      </w:pPr>
    </w:p>
    <w:p w:rsidR="0050414C" w:rsidRDefault="0050414C" w:rsidP="00E20926">
      <w:pPr>
        <w:spacing w:line="360" w:lineRule="auto"/>
        <w:jc w:val="both"/>
      </w:pPr>
      <w:r>
        <w:t xml:space="preserve">der Personalrat hat in seiner Sitzung vom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beschlossen</w:t>
      </w:r>
      <w:r w:rsidR="007623A7">
        <w:t>, gemäß §§ 69, 66 I Nr. 1 lit. b</w:t>
      </w:r>
      <w:r>
        <w:t xml:space="preserve"> NPersVG den Abschluss der anliegenden Dienstvereinbarung zu beantragen.</w:t>
      </w:r>
    </w:p>
    <w:p w:rsidR="0050414C" w:rsidRDefault="0050414C" w:rsidP="00E20926">
      <w:pPr>
        <w:spacing w:line="360" w:lineRule="auto"/>
        <w:jc w:val="both"/>
      </w:pPr>
    </w:p>
    <w:p w:rsidR="00167C53" w:rsidRDefault="00167C53" w:rsidP="00E20926">
      <w:pPr>
        <w:spacing w:line="360" w:lineRule="auto"/>
        <w:jc w:val="both"/>
      </w:pPr>
      <w:r>
        <w:t xml:space="preserve">Zur Zulässigkeit des Antrags nehmen wir auf die Entscheidung des Bundesverwaltungsgerichts vom </w:t>
      </w:r>
      <w:r w:rsidR="00AF46C9">
        <w:t>17.12.2003 – 6 P 7.03 – (vgl. Dembowski/Ladwig/Sellmann, NPersVG, Stand: XI/17, § 78 Rn. 20a).</w:t>
      </w:r>
    </w:p>
    <w:p w:rsidR="00167C53" w:rsidRDefault="00167C53" w:rsidP="00E20926">
      <w:pPr>
        <w:spacing w:line="360" w:lineRule="auto"/>
        <w:jc w:val="both"/>
      </w:pPr>
    </w:p>
    <w:p w:rsidR="00CF72E2" w:rsidRDefault="0050414C" w:rsidP="00E20926">
      <w:pPr>
        <w:spacing w:line="360" w:lineRule="auto"/>
        <w:jc w:val="both"/>
      </w:pPr>
      <w:r>
        <w:t>Nach Auffassung des Personalrats hat sich die Vertrauensarbeitszeit in unserem Zuständigkeitsbereich uneingeschränkt bewährt. Um dem aktuelle</w:t>
      </w:r>
      <w:r w:rsidR="004174F3">
        <w:t xml:space="preserve">n Streit über die unmittelbare Wirkung </w:t>
      </w:r>
      <w:r>
        <w:t xml:space="preserve">des Urteils des EuGH vom </w:t>
      </w:r>
      <w:r w:rsidRPr="0050414C">
        <w:t xml:space="preserve">14.05.2019 </w:t>
      </w:r>
      <w:r>
        <w:t>(</w:t>
      </w:r>
      <w:r w:rsidRPr="0050414C">
        <w:t>C 55/18 – CCOO</w:t>
      </w:r>
      <w:r>
        <w:t>) aus dem Weg zu gehen und gleichzeitig die Vorteile der Vertrauensarbeitszeit zu erhalten, sieht der Entwurf vor, dass jede bzw. jeder Beschäftigte die individuelle Arbeitszeit zu dokumentieren hat, um stichprobenartige sowie anlassbezogene Kontrolle</w:t>
      </w:r>
      <w:r w:rsidR="0049769C">
        <w:t>n</w:t>
      </w:r>
      <w:r>
        <w:t xml:space="preserve"> der Einhaltung der Pausen-, Ruhe- und Höchstarbeitszeiten zu </w:t>
      </w:r>
      <w:r w:rsidR="00CF72E2">
        <w:t>ermöglichen.</w:t>
      </w:r>
    </w:p>
    <w:p w:rsidR="00E20926" w:rsidRDefault="00CF72E2" w:rsidP="00E20926">
      <w:pPr>
        <w:spacing w:line="360" w:lineRule="auto"/>
        <w:jc w:val="both"/>
      </w:pPr>
      <w:r>
        <w:lastRenderedPageBreak/>
        <w:t>Die</w:t>
      </w:r>
      <w:r w:rsidR="0050414C">
        <w:t xml:space="preserve"> Delegation </w:t>
      </w:r>
      <w:r>
        <w:t xml:space="preserve">als Verpflichtung zur Selbstaufzeichnung </w:t>
      </w:r>
      <w:r w:rsidR="0050414C">
        <w:t>wird nach ganz überwiegender Meinung für zulässig erachtet</w:t>
      </w:r>
      <w:r w:rsidR="00E36826">
        <w:rPr>
          <w:rStyle w:val="Funotenzeichen"/>
        </w:rPr>
        <w:footnoteReference w:id="1"/>
      </w:r>
      <w:r>
        <w:t xml:space="preserve">. </w:t>
      </w:r>
      <w:r w:rsidR="002E1FAF">
        <w:t>Die</w:t>
      </w:r>
      <w:r>
        <w:t xml:space="preserve"> elektronische Erfassung der Arbeitszeit nur scheinbar objektiver ist als eine manuelle Selbstaufschreibung. Tatsächlich ist sie ebenso manipulationsanfällig, weil Arbeit geleistet werden kann, ohne sich einzuloggen – und umgekehrt. Die Erfahrungen aus der Zeit vor Einführung der Vertrauensarbeitszeit bestätigen das.</w:t>
      </w:r>
      <w:r w:rsidR="00447A11">
        <w:t xml:space="preserve"> Ein elektronisches System zur Arbeitszeiterfassung wäre nur dann objektiver, wenn eine Mitwirkung des Einzelnen technisch vollständig ausgeschlossen wäre. Eine derart ausgreifende Überwachung dürfte aber mit den Anforderungen des Datenschutzes unvereinbar sein</w:t>
      </w:r>
      <w:r w:rsidR="00447A11">
        <w:rPr>
          <w:rStyle w:val="Funotenzeichen"/>
        </w:rPr>
        <w:footnoteReference w:id="2"/>
      </w:r>
      <w:r w:rsidR="00447A11">
        <w:t>.</w:t>
      </w:r>
      <w:r>
        <w:t xml:space="preserve"> </w:t>
      </w:r>
      <w:r w:rsidR="00447A11">
        <w:t>Im Ergebnis ist damit festzustellen, dass die Anordnung einer Selbstaufzeichnung den Anforderungen des EuGH genügt.</w:t>
      </w:r>
      <w:r w:rsidR="00F948F1">
        <w:t xml:space="preserve"> Denn es geht nicht um Bevormundung oder Kontrolle. Der EuGH verlangt nicht die Kassation flexibler Arbeitszeitmodelle, sondern lediglich, dem Beschäftigten ein sicheres Beweismittel für die Einhaltung der Arbeitsschutzbestimmungen in die Hand zu geben</w:t>
      </w:r>
      <w:r w:rsidR="00F948F1">
        <w:rPr>
          <w:rStyle w:val="Funotenzeichen"/>
        </w:rPr>
        <w:footnoteReference w:id="3"/>
      </w:r>
      <w:r w:rsidR="00F948F1">
        <w:t>.</w:t>
      </w:r>
      <w:r w:rsidR="00FA0BB0">
        <w:t xml:space="preserve"> Dem trägt der Antrag Rechnung.</w:t>
      </w:r>
    </w:p>
    <w:p w:rsidR="00447A11" w:rsidRDefault="00447A11" w:rsidP="00E20926">
      <w:pPr>
        <w:spacing w:line="360" w:lineRule="auto"/>
        <w:jc w:val="both"/>
      </w:pPr>
    </w:p>
    <w:p w:rsidR="0050414C" w:rsidRDefault="00FA0BB0" w:rsidP="00E20926">
      <w:pPr>
        <w:spacing w:line="360" w:lineRule="auto"/>
        <w:jc w:val="both"/>
      </w:pPr>
      <w:r>
        <w:t>Nach dem Wegfall der Beschränkungen durch die Rahmendienstvereinbarung zum 01.01.2022 betont</w:t>
      </w:r>
      <w:r w:rsidR="00E20926">
        <w:t xml:space="preserve"> der Entwurf </w:t>
      </w:r>
      <w:r>
        <w:t xml:space="preserve">im Übrigen </w:t>
      </w:r>
      <w:r w:rsidR="00E20926">
        <w:t>stärker als bisher die Eigenverantwortlichkeit der Beschäftigten und sieht vor, dass die Teilnahme des Einzelnen an der Vertrauensarbeitszeit freiwillig und ein jed</w:t>
      </w:r>
      <w:r>
        <w:t>erzeitiger Wechsel möglich ist.</w:t>
      </w:r>
    </w:p>
    <w:p w:rsidR="00FA0BB0" w:rsidRDefault="00FA0BB0" w:rsidP="00E20926">
      <w:pPr>
        <w:spacing w:line="360" w:lineRule="auto"/>
        <w:jc w:val="both"/>
      </w:pPr>
    </w:p>
    <w:p w:rsidR="0050414C" w:rsidRDefault="0050414C" w:rsidP="00E20926">
      <w:pPr>
        <w:spacing w:line="360" w:lineRule="auto"/>
        <w:jc w:val="both"/>
      </w:pPr>
      <w:r>
        <w:t xml:space="preserve">Die Gleitzeitvereinbarung </w:t>
      </w:r>
      <w:r w:rsidR="00167C53">
        <w:t>(</w:t>
      </w:r>
      <w:r w:rsidR="00167C53" w:rsidRPr="00942801">
        <w:t xml:space="preserve">Vereinbarung über die gleitende Arbeitszeit vom </w:t>
      </w:r>
      <w:r w:rsidR="00167C53">
        <w:t>23.04.</w:t>
      </w:r>
      <w:r w:rsidR="00167C53" w:rsidRPr="00942801">
        <w:t>1999</w:t>
      </w:r>
      <w:r w:rsidR="00167C53">
        <w:t xml:space="preserve">) </w:t>
      </w:r>
      <w:r>
        <w:t xml:space="preserve">steht dem Abschluss dieser Vereinbarung nicht entgegen. </w:t>
      </w:r>
      <w:r w:rsidR="00167C53">
        <w:t>Denn Nr. 18 dieser Vereinbarung sieht lediglich eine Unterrichtung der obersten Dienstbehörde sowie des MI vor.</w:t>
      </w:r>
      <w:r w:rsidR="004174F3">
        <w:t xml:space="preserve"> Dem steht aus Sicht des Personalrats nichts im Wege.</w:t>
      </w:r>
    </w:p>
    <w:p w:rsidR="00AF46C9" w:rsidRDefault="00AF46C9" w:rsidP="00E20926">
      <w:pPr>
        <w:spacing w:line="360" w:lineRule="auto"/>
        <w:jc w:val="both"/>
      </w:pPr>
    </w:p>
    <w:p w:rsidR="00AF46C9" w:rsidRDefault="00AF46C9" w:rsidP="00E20926">
      <w:pPr>
        <w:spacing w:line="360" w:lineRule="auto"/>
        <w:jc w:val="both"/>
      </w:pPr>
      <w:r>
        <w:lastRenderedPageBreak/>
        <w:t xml:space="preserve">Für den Fall, dass Sie sich durch den Bezugserlass an einer Zustimmung gehindert sehen, bitten wir um möglichst kurzfristige Mitteilung, damit wir gegenüber der </w:t>
      </w:r>
      <w:r w:rsidR="00E20926">
        <w:t>übergeordneten Dienststelle, bei der eine Stufenvertretung besteht, nach § 70 NPersVG die Nichteinigung erklären können.</w:t>
      </w:r>
    </w:p>
    <w:p w:rsidR="00E20926" w:rsidRDefault="00E20926" w:rsidP="00E20926">
      <w:pPr>
        <w:spacing w:line="360" w:lineRule="auto"/>
        <w:jc w:val="both"/>
      </w:pPr>
    </w:p>
    <w:p w:rsidR="00E20926" w:rsidRDefault="00E20926" w:rsidP="00E20926">
      <w:pPr>
        <w:spacing w:line="360" w:lineRule="auto"/>
        <w:jc w:val="both"/>
      </w:pPr>
      <w:r>
        <w:t>Mit freundlichen Grüßen</w:t>
      </w:r>
    </w:p>
    <w:p w:rsidR="00E20926" w:rsidRDefault="00E20926" w:rsidP="00E20926">
      <w:pPr>
        <w:spacing w:line="360" w:lineRule="auto"/>
        <w:jc w:val="both"/>
      </w:pPr>
    </w:p>
    <w:p w:rsidR="00E20926" w:rsidRPr="00BD166B" w:rsidRDefault="00E20926" w:rsidP="00E20926">
      <w:pPr>
        <w:spacing w:line="360" w:lineRule="auto"/>
        <w:jc w:val="both"/>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sectPr w:rsidR="00E20926" w:rsidRPr="00BD16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11" w:rsidRDefault="00447A11" w:rsidP="00447A11">
      <w:r>
        <w:separator/>
      </w:r>
    </w:p>
  </w:endnote>
  <w:endnote w:type="continuationSeparator" w:id="0">
    <w:p w:rsidR="00447A11" w:rsidRDefault="00447A11" w:rsidP="0044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11" w:rsidRDefault="00447A11" w:rsidP="00447A11">
      <w:r>
        <w:separator/>
      </w:r>
    </w:p>
  </w:footnote>
  <w:footnote w:type="continuationSeparator" w:id="0">
    <w:p w:rsidR="00447A11" w:rsidRDefault="00447A11" w:rsidP="00447A11">
      <w:r>
        <w:continuationSeparator/>
      </w:r>
    </w:p>
  </w:footnote>
  <w:footnote w:id="1">
    <w:p w:rsidR="00E36826" w:rsidRDefault="007E75CB">
      <w:pPr>
        <w:pStyle w:val="Funotentext"/>
      </w:pPr>
      <w:r>
        <w:rPr>
          <w:rStyle w:val="Funotenzeichen"/>
        </w:rPr>
        <w:footnoteRef/>
      </w:r>
      <w:r>
        <w:rPr>
          <w:rStyle w:val="Funotenzeichen"/>
        </w:rPr>
        <w:tab/>
      </w:r>
      <w:r w:rsidR="00A36903" w:rsidRPr="00A36903">
        <w:t>ErfK/Wank, 21.</w:t>
      </w:r>
      <w:r w:rsidR="00A36903">
        <w:t xml:space="preserve"> Aufl. 2021, ArbZG § 16 Rn. 14;</w:t>
      </w:r>
      <w:r w:rsidR="00A36903" w:rsidRPr="00A36903">
        <w:t xml:space="preserve"> </w:t>
      </w:r>
      <w:r w:rsidR="006E3973" w:rsidRPr="006E3973">
        <w:t xml:space="preserve">BeckOK ArbR/Kock, 61. </w:t>
      </w:r>
      <w:r w:rsidR="006E3973">
        <w:t>Ed. 1.9.2021, ArbZG § 16 Rnn. 4c, 8;</w:t>
      </w:r>
      <w:r w:rsidR="006E3973" w:rsidRPr="006E3973">
        <w:t xml:space="preserve"> </w:t>
      </w:r>
      <w:r w:rsidR="00A36903" w:rsidRPr="00A36903">
        <w:t>Baeck/Deutsch/Winzer/Baeck/Deutsch/Winzer, 4</w:t>
      </w:r>
      <w:r w:rsidR="00A36903">
        <w:t xml:space="preserve">. Aufl. 2020, ArbZG § 16 Rn. </w:t>
      </w:r>
      <w:r w:rsidR="00A36903" w:rsidRPr="00A36903">
        <w:t>25</w:t>
      </w:r>
      <w:r w:rsidR="00A36903">
        <w:t>;</w:t>
      </w:r>
      <w:r w:rsidR="00A36903" w:rsidRPr="00A36903">
        <w:t xml:space="preserve"> </w:t>
      </w:r>
      <w:hyperlink r:id="rId1" w:history="1">
        <w:r w:rsidR="00FA0BB0" w:rsidRPr="00FA0BB0">
          <w:rPr>
            <w:rStyle w:val="Hyperlink"/>
          </w:rPr>
          <w:t>Bayreuther, Identifizierung von rechtlichem Umsetzungs- und/oder Änderungsbedarf im deutschen Recht in Nachfolge des EuGH-Urteils vom 14.05.2019, Rechtsgutachten im Auftrag des BMAS</w:t>
        </w:r>
      </w:hyperlink>
      <w:r w:rsidR="00FA0BB0">
        <w:t xml:space="preserve">, 2019, S. 38 f.; </w:t>
      </w:r>
      <w:r w:rsidR="00D30A4A">
        <w:t xml:space="preserve">Hanau, </w:t>
      </w:r>
      <w:hyperlink r:id="rId2" w:history="1">
        <w:r w:rsidR="00D30A4A" w:rsidRPr="00A36903">
          <w:rPr>
            <w:rStyle w:val="Hyperlink"/>
          </w:rPr>
          <w:t>BT-Ausschussdrucksache 19(11)749</w:t>
        </w:r>
      </w:hyperlink>
      <w:r w:rsidR="00D30A4A">
        <w:t xml:space="preserve">, S. 9; </w:t>
      </w:r>
      <w:r w:rsidR="00E36826">
        <w:t>Bayreuther NZA 2020, 1/6</w:t>
      </w:r>
      <w:r w:rsidR="004F0DD2">
        <w:t>; Reinhard NZA 2019, 1313/1318</w:t>
      </w:r>
      <w:r w:rsidR="00976582">
        <w:t>; Höpfner/Daum, RdA 2019, 270/278</w:t>
      </w:r>
      <w:r w:rsidR="00650099">
        <w:t>; Fuhlrott NZA-RR 2019, 343</w:t>
      </w:r>
      <w:r w:rsidR="006E3973">
        <w:t>; Heu</w:t>
      </w:r>
      <w:r w:rsidR="007C64EC">
        <w:t xml:space="preserve">schmid NJW 2019, 1853/1854; </w:t>
      </w:r>
      <w:r w:rsidR="00B6594D">
        <w:t xml:space="preserve">Sittard/Esser, jM 2019, 284/289; </w:t>
      </w:r>
      <w:r w:rsidR="00B021FB">
        <w:t xml:space="preserve">Ubber BB 2019, 1984; </w:t>
      </w:r>
      <w:r w:rsidR="006E3973">
        <w:t>Schrader NZA 2019, 1035/1037; Baeck/Winzer/Launer NZG 2019, 858/860</w:t>
      </w:r>
    </w:p>
  </w:footnote>
  <w:footnote w:id="2">
    <w:p w:rsidR="00447A11" w:rsidRDefault="007E75CB">
      <w:pPr>
        <w:pStyle w:val="Funotentext"/>
      </w:pPr>
      <w:r>
        <w:rPr>
          <w:rStyle w:val="Funotenzeichen"/>
        </w:rPr>
        <w:footnoteRef/>
      </w:r>
      <w:r>
        <w:rPr>
          <w:rStyle w:val="Funotenzeichen"/>
        </w:rPr>
        <w:tab/>
      </w:r>
      <w:r w:rsidR="00447A11">
        <w:t xml:space="preserve">Reinhard, NZA 2019, 1313/1315; </w:t>
      </w:r>
      <w:r w:rsidR="00F948F1">
        <w:t>Bayreuther NZA 2020, 1/6</w:t>
      </w:r>
    </w:p>
  </w:footnote>
  <w:footnote w:id="3">
    <w:p w:rsidR="00F948F1" w:rsidRDefault="007E75CB">
      <w:pPr>
        <w:pStyle w:val="Funotentext"/>
      </w:pPr>
      <w:r>
        <w:rPr>
          <w:rStyle w:val="Funotenzeichen"/>
        </w:rPr>
        <w:footnoteRef/>
      </w:r>
      <w:r>
        <w:rPr>
          <w:rStyle w:val="Funotenzeichen"/>
        </w:rPr>
        <w:tab/>
      </w:r>
      <w:r w:rsidR="00F948F1">
        <w:t>Bayreuther NZA 2020, 1/5 und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D88"/>
    <w:multiLevelType w:val="multilevel"/>
    <w:tmpl w:val="E6EA5FFE"/>
    <w:styleLink w:val="Hausarbeit"/>
    <w:lvl w:ilvl="0">
      <w:start w:val="1"/>
      <w:numFmt w:val="upperLetter"/>
      <w:pStyle w:val="berschrift1"/>
      <w:lvlText w:val="%1."/>
      <w:lvlJc w:val="left"/>
      <w:pPr>
        <w:tabs>
          <w:tab w:val="num" w:pos="567"/>
        </w:tabs>
        <w:ind w:left="567" w:hanging="567"/>
      </w:pPr>
      <w:rPr>
        <w:rFonts w:ascii="Arial" w:hAnsi="Arial" w:hint="default"/>
        <w:b/>
        <w:color w:val="auto"/>
        <w:sz w:val="24"/>
      </w:rPr>
    </w:lvl>
    <w:lvl w:ilvl="1">
      <w:start w:val="1"/>
      <w:numFmt w:val="upperRoman"/>
      <w:pStyle w:val="berschrift2"/>
      <w:lvlText w:val="%2."/>
      <w:lvlJc w:val="left"/>
      <w:pPr>
        <w:tabs>
          <w:tab w:val="num" w:pos="567"/>
        </w:tabs>
        <w:ind w:left="567" w:hanging="567"/>
      </w:pPr>
      <w:rPr>
        <w:rFonts w:ascii="Arial" w:hAnsi="Arial" w:hint="default"/>
        <w:b/>
        <w:color w:val="auto"/>
        <w:sz w:val="24"/>
      </w:rPr>
    </w:lvl>
    <w:lvl w:ilvl="2">
      <w:start w:val="1"/>
      <w:numFmt w:val="decimal"/>
      <w:lvlText w:val="%3."/>
      <w:lvlJc w:val="left"/>
      <w:pPr>
        <w:tabs>
          <w:tab w:val="num" w:pos="567"/>
        </w:tabs>
        <w:ind w:left="567" w:hanging="567"/>
      </w:pPr>
      <w:rPr>
        <w:rFonts w:ascii="Arial" w:hAnsi="Arial" w:hint="default"/>
        <w:b/>
        <w:sz w:val="24"/>
      </w:rPr>
    </w:lvl>
    <w:lvl w:ilvl="3">
      <w:start w:val="1"/>
      <w:numFmt w:val="lowerLetter"/>
      <w:lvlText w:val="%4)"/>
      <w:lvlJc w:val="left"/>
      <w:pPr>
        <w:tabs>
          <w:tab w:val="num" w:pos="567"/>
        </w:tabs>
        <w:ind w:left="567" w:hanging="567"/>
      </w:pPr>
      <w:rPr>
        <w:rFonts w:ascii="Freestyle Script" w:hAnsi="Freestyle Script" w:hint="default"/>
        <w:b/>
        <w:color w:val="auto"/>
        <w:sz w:val="24"/>
      </w:rPr>
    </w:lvl>
    <w:lvl w:ilvl="4">
      <w:start w:val="27"/>
      <w:numFmt w:val="lowerLetter"/>
      <w:lvlText w:val="%5)"/>
      <w:lvlJc w:val="left"/>
      <w:pPr>
        <w:tabs>
          <w:tab w:val="num" w:pos="567"/>
        </w:tabs>
        <w:ind w:left="567" w:hanging="567"/>
      </w:pPr>
      <w:rPr>
        <w:rFonts w:ascii="Times New Roman" w:hAnsi="Times New Roman" w:hint="default"/>
        <w:b/>
        <w:i w:val="0"/>
        <w:color w:val="auto"/>
        <w:sz w:val="24"/>
      </w:rPr>
    </w:lvl>
    <w:lvl w:ilvl="5">
      <w:start w:val="1"/>
      <w:numFmt w:val="decimal"/>
      <w:lvlText w:val="(%6)"/>
      <w:lvlJc w:val="left"/>
      <w:pPr>
        <w:tabs>
          <w:tab w:val="num" w:pos="567"/>
        </w:tabs>
        <w:ind w:left="567" w:hanging="567"/>
      </w:pPr>
      <w:rPr>
        <w:rFonts w:ascii="Times New Roman" w:hAnsi="Times New Roman" w:hint="default"/>
        <w:b/>
        <w:i w:val="0"/>
        <w:color w:val="auto"/>
        <w:sz w:val="24"/>
      </w:rPr>
    </w:lvl>
    <w:lvl w:ilvl="6">
      <w:start w:val="1"/>
      <w:numFmt w:val="lowerLetter"/>
      <w:lvlText w:val="(%7)"/>
      <w:lvlJc w:val="left"/>
      <w:pPr>
        <w:tabs>
          <w:tab w:val="num" w:pos="567"/>
        </w:tabs>
        <w:ind w:left="567" w:hanging="567"/>
      </w:pPr>
      <w:rPr>
        <w:rFonts w:ascii="Times New Roman" w:hAnsi="Times New Roman" w:hint="default"/>
        <w:b/>
        <w:sz w:val="24"/>
      </w:rPr>
    </w:lvl>
    <w:lvl w:ilvl="7">
      <w:start w:val="27"/>
      <w:numFmt w:val="lowerLetter"/>
      <w:lvlText w:val="(%8)"/>
      <w:lvlJc w:val="left"/>
      <w:pPr>
        <w:tabs>
          <w:tab w:val="num" w:pos="567"/>
        </w:tabs>
        <w:ind w:left="567" w:hanging="567"/>
      </w:pPr>
      <w:rPr>
        <w:rFonts w:ascii="Times New Roman" w:hAnsi="Times New Roman" w:hint="default"/>
        <w:b/>
        <w:sz w:val="24"/>
      </w:rPr>
    </w:lvl>
    <w:lvl w:ilvl="8">
      <w:start w:val="1"/>
      <w:numFmt w:val="bullet"/>
      <w:lvlText w:val="α"/>
      <w:lvlJc w:val="left"/>
      <w:pPr>
        <w:tabs>
          <w:tab w:val="num" w:pos="567"/>
        </w:tabs>
        <w:ind w:left="567" w:hanging="567"/>
      </w:pPr>
      <w:rPr>
        <w:rFonts w:ascii="Times New Roman" w:hAnsi="Times New Roman" w:cs="Times New Roman" w:hint="default"/>
        <w:b/>
        <w:i w:val="0"/>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E3"/>
    <w:rsid w:val="00013382"/>
    <w:rsid w:val="000164EF"/>
    <w:rsid w:val="00016E61"/>
    <w:rsid w:val="00017278"/>
    <w:rsid w:val="000172A8"/>
    <w:rsid w:val="00027523"/>
    <w:rsid w:val="0004342F"/>
    <w:rsid w:val="00047B88"/>
    <w:rsid w:val="000548BA"/>
    <w:rsid w:val="000578AF"/>
    <w:rsid w:val="00065A95"/>
    <w:rsid w:val="00066841"/>
    <w:rsid w:val="00070FC9"/>
    <w:rsid w:val="000713C4"/>
    <w:rsid w:val="00091128"/>
    <w:rsid w:val="000924D2"/>
    <w:rsid w:val="00092502"/>
    <w:rsid w:val="000934A9"/>
    <w:rsid w:val="000937D2"/>
    <w:rsid w:val="000937E5"/>
    <w:rsid w:val="000A0A65"/>
    <w:rsid w:val="000B207A"/>
    <w:rsid w:val="000B613E"/>
    <w:rsid w:val="000C2D62"/>
    <w:rsid w:val="000D3494"/>
    <w:rsid w:val="000D44D9"/>
    <w:rsid w:val="000D4A10"/>
    <w:rsid w:val="000D73E1"/>
    <w:rsid w:val="000D78EF"/>
    <w:rsid w:val="000E5912"/>
    <w:rsid w:val="000F3532"/>
    <w:rsid w:val="000F57E5"/>
    <w:rsid w:val="00111148"/>
    <w:rsid w:val="001131EB"/>
    <w:rsid w:val="00113EDA"/>
    <w:rsid w:val="0012618E"/>
    <w:rsid w:val="00132F27"/>
    <w:rsid w:val="00132FBD"/>
    <w:rsid w:val="001331AE"/>
    <w:rsid w:val="00142CFB"/>
    <w:rsid w:val="00150064"/>
    <w:rsid w:val="0015071C"/>
    <w:rsid w:val="00151881"/>
    <w:rsid w:val="0015325E"/>
    <w:rsid w:val="00153E49"/>
    <w:rsid w:val="00155B4B"/>
    <w:rsid w:val="00160D2F"/>
    <w:rsid w:val="00167C53"/>
    <w:rsid w:val="00167E59"/>
    <w:rsid w:val="00171F37"/>
    <w:rsid w:val="00174B7F"/>
    <w:rsid w:val="0017666B"/>
    <w:rsid w:val="00176DB6"/>
    <w:rsid w:val="00177421"/>
    <w:rsid w:val="001839BD"/>
    <w:rsid w:val="00187D3B"/>
    <w:rsid w:val="001903B7"/>
    <w:rsid w:val="00192B2C"/>
    <w:rsid w:val="0019352D"/>
    <w:rsid w:val="00197CFF"/>
    <w:rsid w:val="00197ED3"/>
    <w:rsid w:val="001B0C08"/>
    <w:rsid w:val="001B5523"/>
    <w:rsid w:val="001C45C5"/>
    <w:rsid w:val="001C5C38"/>
    <w:rsid w:val="001C5E11"/>
    <w:rsid w:val="001C7232"/>
    <w:rsid w:val="001D0A0F"/>
    <w:rsid w:val="001D463C"/>
    <w:rsid w:val="001E15B1"/>
    <w:rsid w:val="001E222C"/>
    <w:rsid w:val="001E2458"/>
    <w:rsid w:val="001E3380"/>
    <w:rsid w:val="001E6A00"/>
    <w:rsid w:val="00200AE8"/>
    <w:rsid w:val="002019C0"/>
    <w:rsid w:val="00202A62"/>
    <w:rsid w:val="00211E92"/>
    <w:rsid w:val="00216AA8"/>
    <w:rsid w:val="002224CD"/>
    <w:rsid w:val="00226AE0"/>
    <w:rsid w:val="00233A8B"/>
    <w:rsid w:val="00235F63"/>
    <w:rsid w:val="002400B7"/>
    <w:rsid w:val="00246F7C"/>
    <w:rsid w:val="002534CB"/>
    <w:rsid w:val="002545EA"/>
    <w:rsid w:val="00282817"/>
    <w:rsid w:val="00282C35"/>
    <w:rsid w:val="00284E14"/>
    <w:rsid w:val="00287624"/>
    <w:rsid w:val="0029116C"/>
    <w:rsid w:val="00291A91"/>
    <w:rsid w:val="002A69B6"/>
    <w:rsid w:val="002B65A6"/>
    <w:rsid w:val="002B6851"/>
    <w:rsid w:val="002D0D81"/>
    <w:rsid w:val="002D5627"/>
    <w:rsid w:val="002D636A"/>
    <w:rsid w:val="002D6754"/>
    <w:rsid w:val="002E1FAF"/>
    <w:rsid w:val="002E77F5"/>
    <w:rsid w:val="002F3225"/>
    <w:rsid w:val="002F36CA"/>
    <w:rsid w:val="002F3BF4"/>
    <w:rsid w:val="002F5348"/>
    <w:rsid w:val="00305C95"/>
    <w:rsid w:val="0030783B"/>
    <w:rsid w:val="0031217D"/>
    <w:rsid w:val="00314468"/>
    <w:rsid w:val="00314E30"/>
    <w:rsid w:val="00316DC0"/>
    <w:rsid w:val="0033050A"/>
    <w:rsid w:val="003307AC"/>
    <w:rsid w:val="00345FC1"/>
    <w:rsid w:val="00353E8B"/>
    <w:rsid w:val="00357C02"/>
    <w:rsid w:val="00360B3D"/>
    <w:rsid w:val="00361063"/>
    <w:rsid w:val="00361FD8"/>
    <w:rsid w:val="00364C86"/>
    <w:rsid w:val="00371099"/>
    <w:rsid w:val="00373E1F"/>
    <w:rsid w:val="00374FBF"/>
    <w:rsid w:val="003836F5"/>
    <w:rsid w:val="00392F31"/>
    <w:rsid w:val="003A3058"/>
    <w:rsid w:val="003A7413"/>
    <w:rsid w:val="003B2B7B"/>
    <w:rsid w:val="003B658C"/>
    <w:rsid w:val="003B7F47"/>
    <w:rsid w:val="003C7760"/>
    <w:rsid w:val="003D089A"/>
    <w:rsid w:val="003D1C9E"/>
    <w:rsid w:val="003D42EA"/>
    <w:rsid w:val="003D6206"/>
    <w:rsid w:val="003D7BE9"/>
    <w:rsid w:val="003E1264"/>
    <w:rsid w:val="003E7841"/>
    <w:rsid w:val="003F12BF"/>
    <w:rsid w:val="003F23F6"/>
    <w:rsid w:val="003F4B24"/>
    <w:rsid w:val="003F4DE6"/>
    <w:rsid w:val="004023F0"/>
    <w:rsid w:val="0040425A"/>
    <w:rsid w:val="00410C57"/>
    <w:rsid w:val="00411E94"/>
    <w:rsid w:val="0041291A"/>
    <w:rsid w:val="00413D39"/>
    <w:rsid w:val="00415A6D"/>
    <w:rsid w:val="004174F3"/>
    <w:rsid w:val="004265CD"/>
    <w:rsid w:val="0043244F"/>
    <w:rsid w:val="00433E8B"/>
    <w:rsid w:val="00445C8E"/>
    <w:rsid w:val="00447A11"/>
    <w:rsid w:val="0045674D"/>
    <w:rsid w:val="00464EEE"/>
    <w:rsid w:val="00466A6F"/>
    <w:rsid w:val="00474DAA"/>
    <w:rsid w:val="004777A1"/>
    <w:rsid w:val="0048015A"/>
    <w:rsid w:val="0048096B"/>
    <w:rsid w:val="00483898"/>
    <w:rsid w:val="00492738"/>
    <w:rsid w:val="00494271"/>
    <w:rsid w:val="00496630"/>
    <w:rsid w:val="0049769C"/>
    <w:rsid w:val="004A24D5"/>
    <w:rsid w:val="004A61A9"/>
    <w:rsid w:val="004B1CBD"/>
    <w:rsid w:val="004B4083"/>
    <w:rsid w:val="004B57AF"/>
    <w:rsid w:val="004B77BA"/>
    <w:rsid w:val="004C0E5E"/>
    <w:rsid w:val="004C7D8F"/>
    <w:rsid w:val="004D0790"/>
    <w:rsid w:val="004D55C4"/>
    <w:rsid w:val="004D607B"/>
    <w:rsid w:val="004D6B30"/>
    <w:rsid w:val="004E1EBD"/>
    <w:rsid w:val="004E294A"/>
    <w:rsid w:val="004F0993"/>
    <w:rsid w:val="004F0DD2"/>
    <w:rsid w:val="004F1711"/>
    <w:rsid w:val="005014DC"/>
    <w:rsid w:val="00503223"/>
    <w:rsid w:val="0050414C"/>
    <w:rsid w:val="00506C20"/>
    <w:rsid w:val="005165FF"/>
    <w:rsid w:val="0053530D"/>
    <w:rsid w:val="00535E57"/>
    <w:rsid w:val="00536080"/>
    <w:rsid w:val="00536535"/>
    <w:rsid w:val="005413AE"/>
    <w:rsid w:val="00541446"/>
    <w:rsid w:val="005419E1"/>
    <w:rsid w:val="00543651"/>
    <w:rsid w:val="00545085"/>
    <w:rsid w:val="005479DE"/>
    <w:rsid w:val="00550897"/>
    <w:rsid w:val="0055194C"/>
    <w:rsid w:val="00553A63"/>
    <w:rsid w:val="00554433"/>
    <w:rsid w:val="00571880"/>
    <w:rsid w:val="00572B34"/>
    <w:rsid w:val="00572EF6"/>
    <w:rsid w:val="00576745"/>
    <w:rsid w:val="00580626"/>
    <w:rsid w:val="0058249C"/>
    <w:rsid w:val="00584161"/>
    <w:rsid w:val="00584A38"/>
    <w:rsid w:val="00587D8C"/>
    <w:rsid w:val="00591E98"/>
    <w:rsid w:val="005A2535"/>
    <w:rsid w:val="005C3415"/>
    <w:rsid w:val="005D609D"/>
    <w:rsid w:val="005D63E3"/>
    <w:rsid w:val="005F256E"/>
    <w:rsid w:val="005F4498"/>
    <w:rsid w:val="006003F0"/>
    <w:rsid w:val="006078BF"/>
    <w:rsid w:val="00607A91"/>
    <w:rsid w:val="00614B6A"/>
    <w:rsid w:val="00615B37"/>
    <w:rsid w:val="00622C34"/>
    <w:rsid w:val="006263C7"/>
    <w:rsid w:val="00637485"/>
    <w:rsid w:val="00637488"/>
    <w:rsid w:val="0064328E"/>
    <w:rsid w:val="00645D78"/>
    <w:rsid w:val="00650099"/>
    <w:rsid w:val="00652B81"/>
    <w:rsid w:val="0065335A"/>
    <w:rsid w:val="00657CFE"/>
    <w:rsid w:val="00660913"/>
    <w:rsid w:val="00680274"/>
    <w:rsid w:val="006909D2"/>
    <w:rsid w:val="00693CBF"/>
    <w:rsid w:val="00697C1C"/>
    <w:rsid w:val="00697E78"/>
    <w:rsid w:val="006A1211"/>
    <w:rsid w:val="006A43CC"/>
    <w:rsid w:val="006A4E69"/>
    <w:rsid w:val="006A6BD6"/>
    <w:rsid w:val="006B1C1A"/>
    <w:rsid w:val="006B718C"/>
    <w:rsid w:val="006B7226"/>
    <w:rsid w:val="006C0A72"/>
    <w:rsid w:val="006C2209"/>
    <w:rsid w:val="006C5FCD"/>
    <w:rsid w:val="006D3D29"/>
    <w:rsid w:val="006D5F35"/>
    <w:rsid w:val="006D62B2"/>
    <w:rsid w:val="006E3973"/>
    <w:rsid w:val="006E3DCD"/>
    <w:rsid w:val="006E66CB"/>
    <w:rsid w:val="006E6C0B"/>
    <w:rsid w:val="006F024E"/>
    <w:rsid w:val="006F2AA1"/>
    <w:rsid w:val="007131B0"/>
    <w:rsid w:val="00713B06"/>
    <w:rsid w:val="007208CD"/>
    <w:rsid w:val="007219C8"/>
    <w:rsid w:val="00724E09"/>
    <w:rsid w:val="00732F93"/>
    <w:rsid w:val="00735CAD"/>
    <w:rsid w:val="00737855"/>
    <w:rsid w:val="00740882"/>
    <w:rsid w:val="00741059"/>
    <w:rsid w:val="00744069"/>
    <w:rsid w:val="007470A1"/>
    <w:rsid w:val="007623A7"/>
    <w:rsid w:val="007744BC"/>
    <w:rsid w:val="00783C86"/>
    <w:rsid w:val="007A3754"/>
    <w:rsid w:val="007A48CE"/>
    <w:rsid w:val="007B0577"/>
    <w:rsid w:val="007B423E"/>
    <w:rsid w:val="007B64A8"/>
    <w:rsid w:val="007C64EC"/>
    <w:rsid w:val="007D27DC"/>
    <w:rsid w:val="007D7C26"/>
    <w:rsid w:val="007E1D57"/>
    <w:rsid w:val="007E3112"/>
    <w:rsid w:val="007E75CB"/>
    <w:rsid w:val="008017DF"/>
    <w:rsid w:val="0080187E"/>
    <w:rsid w:val="00806952"/>
    <w:rsid w:val="00812D84"/>
    <w:rsid w:val="00813D25"/>
    <w:rsid w:val="008159C3"/>
    <w:rsid w:val="00816417"/>
    <w:rsid w:val="00821F30"/>
    <w:rsid w:val="00822AC7"/>
    <w:rsid w:val="0082451C"/>
    <w:rsid w:val="00832ED0"/>
    <w:rsid w:val="00837A90"/>
    <w:rsid w:val="00841E7E"/>
    <w:rsid w:val="00845801"/>
    <w:rsid w:val="008523C8"/>
    <w:rsid w:val="00853464"/>
    <w:rsid w:val="00857722"/>
    <w:rsid w:val="008628A6"/>
    <w:rsid w:val="0087709A"/>
    <w:rsid w:val="008802EB"/>
    <w:rsid w:val="008B1068"/>
    <w:rsid w:val="008B37EC"/>
    <w:rsid w:val="008B60E8"/>
    <w:rsid w:val="008C1EEC"/>
    <w:rsid w:val="008C4C52"/>
    <w:rsid w:val="008C6AF8"/>
    <w:rsid w:val="008C7E48"/>
    <w:rsid w:val="008D151F"/>
    <w:rsid w:val="008D1EB2"/>
    <w:rsid w:val="008D65ED"/>
    <w:rsid w:val="008E2119"/>
    <w:rsid w:val="008E2BD8"/>
    <w:rsid w:val="008E400F"/>
    <w:rsid w:val="008E60C0"/>
    <w:rsid w:val="008F225A"/>
    <w:rsid w:val="008F51BF"/>
    <w:rsid w:val="00900A57"/>
    <w:rsid w:val="0090240E"/>
    <w:rsid w:val="00903D06"/>
    <w:rsid w:val="00913BEC"/>
    <w:rsid w:val="00914E7A"/>
    <w:rsid w:val="0093348B"/>
    <w:rsid w:val="0093409D"/>
    <w:rsid w:val="00934D7C"/>
    <w:rsid w:val="00935680"/>
    <w:rsid w:val="0093644B"/>
    <w:rsid w:val="00937556"/>
    <w:rsid w:val="009432A3"/>
    <w:rsid w:val="00945559"/>
    <w:rsid w:val="00947BE6"/>
    <w:rsid w:val="009530A9"/>
    <w:rsid w:val="009571F1"/>
    <w:rsid w:val="009619E3"/>
    <w:rsid w:val="00971E8D"/>
    <w:rsid w:val="00976582"/>
    <w:rsid w:val="0097731D"/>
    <w:rsid w:val="00990C1A"/>
    <w:rsid w:val="00996A8E"/>
    <w:rsid w:val="00997FF7"/>
    <w:rsid w:val="009A093B"/>
    <w:rsid w:val="009A1C8A"/>
    <w:rsid w:val="009A2617"/>
    <w:rsid w:val="009A2E2F"/>
    <w:rsid w:val="009B340A"/>
    <w:rsid w:val="009B472D"/>
    <w:rsid w:val="009B614C"/>
    <w:rsid w:val="009C24A0"/>
    <w:rsid w:val="009C336E"/>
    <w:rsid w:val="009C5DB7"/>
    <w:rsid w:val="009D393F"/>
    <w:rsid w:val="009D6BBA"/>
    <w:rsid w:val="009D7B51"/>
    <w:rsid w:val="009E5B62"/>
    <w:rsid w:val="009E5E65"/>
    <w:rsid w:val="009E6F2E"/>
    <w:rsid w:val="009E752E"/>
    <w:rsid w:val="009F0D08"/>
    <w:rsid w:val="009F124A"/>
    <w:rsid w:val="00A011E3"/>
    <w:rsid w:val="00A02044"/>
    <w:rsid w:val="00A02096"/>
    <w:rsid w:val="00A04FA0"/>
    <w:rsid w:val="00A05C99"/>
    <w:rsid w:val="00A0627A"/>
    <w:rsid w:val="00A1500E"/>
    <w:rsid w:val="00A21FF2"/>
    <w:rsid w:val="00A22243"/>
    <w:rsid w:val="00A26CBC"/>
    <w:rsid w:val="00A335AA"/>
    <w:rsid w:val="00A34B3D"/>
    <w:rsid w:val="00A352FA"/>
    <w:rsid w:val="00A36903"/>
    <w:rsid w:val="00A40806"/>
    <w:rsid w:val="00A54AC0"/>
    <w:rsid w:val="00A54E00"/>
    <w:rsid w:val="00A6519C"/>
    <w:rsid w:val="00A65B7F"/>
    <w:rsid w:val="00A72D62"/>
    <w:rsid w:val="00A73148"/>
    <w:rsid w:val="00A747A9"/>
    <w:rsid w:val="00A809C9"/>
    <w:rsid w:val="00A81200"/>
    <w:rsid w:val="00A85C1A"/>
    <w:rsid w:val="00A871F4"/>
    <w:rsid w:val="00A90652"/>
    <w:rsid w:val="00A91509"/>
    <w:rsid w:val="00A91B4F"/>
    <w:rsid w:val="00AA0300"/>
    <w:rsid w:val="00AA2498"/>
    <w:rsid w:val="00AA4232"/>
    <w:rsid w:val="00AB0920"/>
    <w:rsid w:val="00AB11DD"/>
    <w:rsid w:val="00AB2045"/>
    <w:rsid w:val="00AB5CF5"/>
    <w:rsid w:val="00AC118A"/>
    <w:rsid w:val="00AC24D0"/>
    <w:rsid w:val="00AC5224"/>
    <w:rsid w:val="00AE239B"/>
    <w:rsid w:val="00AE671F"/>
    <w:rsid w:val="00AF46C9"/>
    <w:rsid w:val="00AF5145"/>
    <w:rsid w:val="00B021FB"/>
    <w:rsid w:val="00B04307"/>
    <w:rsid w:val="00B05875"/>
    <w:rsid w:val="00B17057"/>
    <w:rsid w:val="00B221C5"/>
    <w:rsid w:val="00B237E6"/>
    <w:rsid w:val="00B2495F"/>
    <w:rsid w:val="00B24F48"/>
    <w:rsid w:val="00B25A2F"/>
    <w:rsid w:val="00B312EC"/>
    <w:rsid w:val="00B32882"/>
    <w:rsid w:val="00B33689"/>
    <w:rsid w:val="00B34B12"/>
    <w:rsid w:val="00B45605"/>
    <w:rsid w:val="00B52776"/>
    <w:rsid w:val="00B537C3"/>
    <w:rsid w:val="00B56092"/>
    <w:rsid w:val="00B62339"/>
    <w:rsid w:val="00B632E2"/>
    <w:rsid w:val="00B6594D"/>
    <w:rsid w:val="00B71D32"/>
    <w:rsid w:val="00B71D9F"/>
    <w:rsid w:val="00B7483C"/>
    <w:rsid w:val="00B76C7D"/>
    <w:rsid w:val="00B76DE3"/>
    <w:rsid w:val="00B82762"/>
    <w:rsid w:val="00B83FD3"/>
    <w:rsid w:val="00B933DD"/>
    <w:rsid w:val="00B9540C"/>
    <w:rsid w:val="00B95F00"/>
    <w:rsid w:val="00BB0C74"/>
    <w:rsid w:val="00BB103E"/>
    <w:rsid w:val="00BB2AED"/>
    <w:rsid w:val="00BC1721"/>
    <w:rsid w:val="00BC36A0"/>
    <w:rsid w:val="00BD06E8"/>
    <w:rsid w:val="00BD166B"/>
    <w:rsid w:val="00BD27EA"/>
    <w:rsid w:val="00BE7D12"/>
    <w:rsid w:val="00BF0463"/>
    <w:rsid w:val="00BF4BA0"/>
    <w:rsid w:val="00BF7C71"/>
    <w:rsid w:val="00C0349F"/>
    <w:rsid w:val="00C25A94"/>
    <w:rsid w:val="00C33238"/>
    <w:rsid w:val="00C360C8"/>
    <w:rsid w:val="00C448A3"/>
    <w:rsid w:val="00C47800"/>
    <w:rsid w:val="00C5005F"/>
    <w:rsid w:val="00C55DFF"/>
    <w:rsid w:val="00C5724C"/>
    <w:rsid w:val="00C636B6"/>
    <w:rsid w:val="00C70A4D"/>
    <w:rsid w:val="00C8080E"/>
    <w:rsid w:val="00C81D1F"/>
    <w:rsid w:val="00C82A76"/>
    <w:rsid w:val="00C8690F"/>
    <w:rsid w:val="00C91B8A"/>
    <w:rsid w:val="00CA59AA"/>
    <w:rsid w:val="00CA74AB"/>
    <w:rsid w:val="00CC2875"/>
    <w:rsid w:val="00CC34AC"/>
    <w:rsid w:val="00CC51BD"/>
    <w:rsid w:val="00CD30A0"/>
    <w:rsid w:val="00CD3990"/>
    <w:rsid w:val="00CE32FC"/>
    <w:rsid w:val="00CE7AB4"/>
    <w:rsid w:val="00CF1D43"/>
    <w:rsid w:val="00CF3F79"/>
    <w:rsid w:val="00CF68B0"/>
    <w:rsid w:val="00CF72E2"/>
    <w:rsid w:val="00D018AC"/>
    <w:rsid w:val="00D035FD"/>
    <w:rsid w:val="00D057CF"/>
    <w:rsid w:val="00D123E6"/>
    <w:rsid w:val="00D135C9"/>
    <w:rsid w:val="00D22AEB"/>
    <w:rsid w:val="00D24097"/>
    <w:rsid w:val="00D26A26"/>
    <w:rsid w:val="00D26BD3"/>
    <w:rsid w:val="00D27069"/>
    <w:rsid w:val="00D30A4A"/>
    <w:rsid w:val="00D31066"/>
    <w:rsid w:val="00D313FA"/>
    <w:rsid w:val="00D31BAA"/>
    <w:rsid w:val="00D31EE2"/>
    <w:rsid w:val="00D435F9"/>
    <w:rsid w:val="00D44B61"/>
    <w:rsid w:val="00D4617C"/>
    <w:rsid w:val="00D53A9D"/>
    <w:rsid w:val="00D53DE8"/>
    <w:rsid w:val="00D54F5A"/>
    <w:rsid w:val="00D55E2A"/>
    <w:rsid w:val="00D65AE5"/>
    <w:rsid w:val="00D70609"/>
    <w:rsid w:val="00D71967"/>
    <w:rsid w:val="00D83B10"/>
    <w:rsid w:val="00D846EB"/>
    <w:rsid w:val="00D90525"/>
    <w:rsid w:val="00D916FF"/>
    <w:rsid w:val="00D95E99"/>
    <w:rsid w:val="00D96EE7"/>
    <w:rsid w:val="00D97A77"/>
    <w:rsid w:val="00D97ACC"/>
    <w:rsid w:val="00DA2528"/>
    <w:rsid w:val="00DA4B5C"/>
    <w:rsid w:val="00DA689E"/>
    <w:rsid w:val="00DA68E8"/>
    <w:rsid w:val="00DB11BE"/>
    <w:rsid w:val="00DB16CE"/>
    <w:rsid w:val="00DB3171"/>
    <w:rsid w:val="00DB6784"/>
    <w:rsid w:val="00DB7A69"/>
    <w:rsid w:val="00DB7DAE"/>
    <w:rsid w:val="00DC2D6D"/>
    <w:rsid w:val="00DC30B0"/>
    <w:rsid w:val="00DC7040"/>
    <w:rsid w:val="00DD1E25"/>
    <w:rsid w:val="00DD4C4B"/>
    <w:rsid w:val="00DD5C32"/>
    <w:rsid w:val="00DE3853"/>
    <w:rsid w:val="00DE5A22"/>
    <w:rsid w:val="00DF3AF6"/>
    <w:rsid w:val="00E04BA9"/>
    <w:rsid w:val="00E16352"/>
    <w:rsid w:val="00E20926"/>
    <w:rsid w:val="00E241CF"/>
    <w:rsid w:val="00E27ACB"/>
    <w:rsid w:val="00E32436"/>
    <w:rsid w:val="00E36826"/>
    <w:rsid w:val="00E408C9"/>
    <w:rsid w:val="00E47048"/>
    <w:rsid w:val="00E47DA2"/>
    <w:rsid w:val="00E508FF"/>
    <w:rsid w:val="00E62926"/>
    <w:rsid w:val="00E63830"/>
    <w:rsid w:val="00E66850"/>
    <w:rsid w:val="00E67D48"/>
    <w:rsid w:val="00E67F72"/>
    <w:rsid w:val="00E70D6F"/>
    <w:rsid w:val="00E71609"/>
    <w:rsid w:val="00E721B6"/>
    <w:rsid w:val="00E726CD"/>
    <w:rsid w:val="00E73B94"/>
    <w:rsid w:val="00E80488"/>
    <w:rsid w:val="00E80F47"/>
    <w:rsid w:val="00E82F3D"/>
    <w:rsid w:val="00E87E5A"/>
    <w:rsid w:val="00E93BAD"/>
    <w:rsid w:val="00E95682"/>
    <w:rsid w:val="00E95BB0"/>
    <w:rsid w:val="00E95F82"/>
    <w:rsid w:val="00EA3266"/>
    <w:rsid w:val="00EA7C26"/>
    <w:rsid w:val="00EB04A6"/>
    <w:rsid w:val="00EB5BF3"/>
    <w:rsid w:val="00EC15AA"/>
    <w:rsid w:val="00EC456B"/>
    <w:rsid w:val="00ED2BF2"/>
    <w:rsid w:val="00EE24BC"/>
    <w:rsid w:val="00EF4F4A"/>
    <w:rsid w:val="00F00B0E"/>
    <w:rsid w:val="00F01223"/>
    <w:rsid w:val="00F03221"/>
    <w:rsid w:val="00F0596F"/>
    <w:rsid w:val="00F12EB9"/>
    <w:rsid w:val="00F153FE"/>
    <w:rsid w:val="00F20C51"/>
    <w:rsid w:val="00F21A21"/>
    <w:rsid w:val="00F34D0E"/>
    <w:rsid w:val="00F42361"/>
    <w:rsid w:val="00F44C93"/>
    <w:rsid w:val="00F5065C"/>
    <w:rsid w:val="00F54886"/>
    <w:rsid w:val="00F57529"/>
    <w:rsid w:val="00F705ED"/>
    <w:rsid w:val="00F7324C"/>
    <w:rsid w:val="00F85540"/>
    <w:rsid w:val="00F85972"/>
    <w:rsid w:val="00F948F1"/>
    <w:rsid w:val="00F9513D"/>
    <w:rsid w:val="00F95F63"/>
    <w:rsid w:val="00FA0BB0"/>
    <w:rsid w:val="00FA0F62"/>
    <w:rsid w:val="00FA1FD1"/>
    <w:rsid w:val="00FA2CD8"/>
    <w:rsid w:val="00FA44CE"/>
    <w:rsid w:val="00FA7A92"/>
    <w:rsid w:val="00FB4F84"/>
    <w:rsid w:val="00FC1263"/>
    <w:rsid w:val="00FC417D"/>
    <w:rsid w:val="00FC4693"/>
    <w:rsid w:val="00FC61F4"/>
    <w:rsid w:val="00FC782C"/>
    <w:rsid w:val="00FC7A69"/>
    <w:rsid w:val="00FE1598"/>
    <w:rsid w:val="00FE1F5B"/>
    <w:rsid w:val="00FE2CE1"/>
    <w:rsid w:val="00FE3B0E"/>
    <w:rsid w:val="00FF3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C2E4-80C2-4402-B0DA-D7AFDFE0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7E5"/>
    <w:rPr>
      <w:rFonts w:ascii="Arial" w:hAnsi="Arial"/>
      <w:sz w:val="24"/>
      <w:lang w:eastAsia="de-DE"/>
    </w:rPr>
  </w:style>
  <w:style w:type="paragraph" w:styleId="berschrift1">
    <w:name w:val="heading 1"/>
    <w:basedOn w:val="Standard"/>
    <w:next w:val="Standard"/>
    <w:link w:val="berschrift1Zchn"/>
    <w:qFormat/>
    <w:rsid w:val="005F4498"/>
    <w:pPr>
      <w:keepNext/>
      <w:numPr>
        <w:numId w:val="1"/>
      </w:numPr>
      <w:outlineLvl w:val="0"/>
    </w:pPr>
  </w:style>
  <w:style w:type="paragraph" w:styleId="berschrift2">
    <w:name w:val="heading 2"/>
    <w:basedOn w:val="Standard"/>
    <w:next w:val="Standard"/>
    <w:link w:val="berschrift2Zchn"/>
    <w:qFormat/>
    <w:rsid w:val="005F4498"/>
    <w:pPr>
      <w:keepNext/>
      <w:numPr>
        <w:ilvl w:val="1"/>
        <w:numId w:val="1"/>
      </w:numPr>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4498"/>
    <w:rPr>
      <w:sz w:val="24"/>
      <w:lang w:eastAsia="de-DE"/>
    </w:rPr>
  </w:style>
  <w:style w:type="character" w:customStyle="1" w:styleId="berschrift2Zchn">
    <w:name w:val="Überschrift 2 Zchn"/>
    <w:basedOn w:val="Absatz-Standardschriftart"/>
    <w:link w:val="berschrift2"/>
    <w:rsid w:val="005F4498"/>
    <w:rPr>
      <w:b/>
      <w:sz w:val="32"/>
      <w:lang w:eastAsia="de-DE"/>
    </w:rPr>
  </w:style>
  <w:style w:type="numbering" w:customStyle="1" w:styleId="Hausarbeit">
    <w:name w:val="Hausarbeit"/>
    <w:uiPriority w:val="99"/>
    <w:rsid w:val="004D607B"/>
    <w:pPr>
      <w:numPr>
        <w:numId w:val="1"/>
      </w:numPr>
    </w:pPr>
  </w:style>
  <w:style w:type="character" w:styleId="Platzhaltertext">
    <w:name w:val="Placeholder Text"/>
    <w:basedOn w:val="Absatz-Standardschriftart"/>
    <w:uiPriority w:val="99"/>
    <w:semiHidden/>
    <w:rsid w:val="005D63E3"/>
    <w:rPr>
      <w:color w:val="808080"/>
    </w:rPr>
  </w:style>
  <w:style w:type="paragraph" w:styleId="Funotentext">
    <w:name w:val="footnote text"/>
    <w:basedOn w:val="Standard"/>
    <w:link w:val="FunotentextZchn"/>
    <w:uiPriority w:val="99"/>
    <w:semiHidden/>
    <w:unhideWhenUsed/>
    <w:rsid w:val="007E75CB"/>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rsid w:val="007E75CB"/>
    <w:rPr>
      <w:rFonts w:ascii="Arial" w:hAnsi="Arial"/>
      <w:lang w:eastAsia="de-DE"/>
    </w:rPr>
  </w:style>
  <w:style w:type="character" w:styleId="Funotenzeichen">
    <w:name w:val="footnote reference"/>
    <w:basedOn w:val="Absatz-Standardschriftart"/>
    <w:uiPriority w:val="99"/>
    <w:semiHidden/>
    <w:unhideWhenUsed/>
    <w:rsid w:val="00447A11"/>
    <w:rPr>
      <w:vertAlign w:val="superscript"/>
    </w:rPr>
  </w:style>
  <w:style w:type="character" w:styleId="Hyperlink">
    <w:name w:val="Hyperlink"/>
    <w:basedOn w:val="Absatz-Standardschriftart"/>
    <w:uiPriority w:val="99"/>
    <w:unhideWhenUsed/>
    <w:rsid w:val="00A36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de/url?sa=t&amp;rct=j&amp;q=&amp;esrc=s&amp;source=web&amp;cd=&amp;cad=rja&amp;uact=8&amp;ved=2ahUKEwizweqW9LLzAhVdS_EDHfgZB7MQFnoECAgQAQ&amp;url=https%3A%2F%2Fwww.bundestag.de%2Fresource%2Fblob%2F791358%2F6f472e1dfca09fc0dac8368a09b4072f%2F19-11-749-data.pdf&amp;usg=AOvVaw182v3dXmOpJd_hEKUyETrM" TargetMode="External"/><Relationship Id="rId1" Type="http://schemas.openxmlformats.org/officeDocument/2006/relationships/hyperlink" Target="https://efarbeitsrecht.net/wp-content/uploads/2020/02/Gutachten-Prof.-Bayreuthe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Niedersachsen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Niklas Krause</dc:creator>
  <cp:keywords/>
  <dc:description/>
  <cp:lastModifiedBy>Jens Niklas Krause</cp:lastModifiedBy>
  <cp:revision>7</cp:revision>
  <dcterms:created xsi:type="dcterms:W3CDTF">2021-10-05T10:20:00Z</dcterms:created>
  <dcterms:modified xsi:type="dcterms:W3CDTF">2021-10-06T09:47:00Z</dcterms:modified>
</cp:coreProperties>
</file>